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0pt;margin-top:0pt;width:451.209pt;height:77.036015pt;mso-position-horizontal-relative:page;mso-position-vertical-relative:page;z-index:-76" coordorigin="0,0" coordsize="9024,1541">
            <v:group style="position:absolute;left:0;top:0;width:6576;height:1531" coordorigin="0,0" coordsize="6576,1531">
              <v:shape style="position:absolute;left:0;top:0;width:6576;height:1531" coordorigin="0,0" coordsize="6576,1531" path="m0,1531l6576,1531,6576,0,0,0,0,1531xe" filled="t" fillcolor="#B3E1FE" stroked="f">
                <v:path arrowok="t"/>
                <v:fill/>
              </v:shape>
            </v:group>
            <v:group style="position:absolute;left:6576;top:0;width:2049;height:1531" coordorigin="6576,0" coordsize="2049,1531">
              <v:shape style="position:absolute;left:6576;top:0;width:2049;height:1531" coordorigin="6576,0" coordsize="2049,1531" path="m6576,1531l8626,1531,8626,0,6576,0,6576,1531xe" filled="t" fillcolor="#4E6E38" stroked="f">
                <v:path arrowok="t"/>
                <v:fill/>
              </v:shape>
            </v:group>
            <v:group style="position:absolute;left:8626;top:0;width:389;height:1531" coordorigin="8626,0" coordsize="389,1531">
              <v:shape style="position:absolute;left:8626;top:0;width:389;height:1531" coordorigin="8626,0" coordsize="389,1531" path="m9014,1531l8626,1531,8626,0,9014,0,9014,1531e" filled="t" fillcolor="#1D4E8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0pt;margin-top:788.280029pt;width:595.276001pt;height:53.61pt;mso-position-horizontal-relative:page;mso-position-vertical-relative:page;z-index:-75" coordorigin="0,15766" coordsize="11906,1072">
            <v:group style="position:absolute;left:0;top:15776;width:454;height:1062" coordorigin="0,15776" coordsize="454,1062">
              <v:shape style="position:absolute;left:0;top:15776;width:454;height:1062" coordorigin="0,15776" coordsize="454,1062" path="m0,16838l454,16838,454,15776,0,15776,0,16838xe" filled="t" fillcolor="#B3E1FE" stroked="f">
                <v:path arrowok="t"/>
                <v:fill/>
              </v:shape>
            </v:group>
            <v:group style="position:absolute;left:454;top:15776;width:2239;height:1062" coordorigin="454,15776" coordsize="2239,1062">
              <v:shape style="position:absolute;left:454;top:15776;width:2239;height:1062" coordorigin="454,15776" coordsize="2239,1062" path="m454,16838l2693,16838,2693,15776,454,15776,454,16838xe" filled="t" fillcolor="#4E6E38" stroked="f">
                <v:path arrowok="t"/>
                <v:fill/>
              </v:shape>
            </v:group>
            <v:group style="position:absolute;left:2693;top:15776;width:9213;height:1062" coordorigin="2693,15776" coordsize="9213,1062">
              <v:shape style="position:absolute;left:2693;top:15776;width:9213;height:1062" coordorigin="2693,15776" coordsize="9213,1062" path="m11906,15776l11906,16838,2693,16838,2693,15776,11906,15776e" filled="t" fillcolor="#1D4E89" stroked="f">
                <v:path arrowok="t"/>
                <v:fill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92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7.680625pt;height:67.68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361" w:lineRule="exact"/>
        <w:ind w:left="12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Life</w:t>
      </w:r>
      <w:r>
        <w:rPr>
          <w:rFonts w:ascii="Arial" w:hAnsi="Arial" w:cs="Arial" w:eastAsia="Arial"/>
          <w:sz w:val="32"/>
          <w:szCs w:val="32"/>
          <w:color w:val="1D4E89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expectancy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shows</w:t>
      </w:r>
      <w:r>
        <w:rPr>
          <w:rFonts w:ascii="Arial" w:hAnsi="Arial" w:cs="Arial" w:eastAsia="Arial"/>
          <w:sz w:val="32"/>
          <w:szCs w:val="32"/>
          <w:color w:val="1D4E89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growing</w:t>
      </w:r>
      <w:r>
        <w:rPr>
          <w:rFonts w:ascii="Arial" w:hAnsi="Arial" w:cs="Arial" w:eastAsia="Arial"/>
          <w:sz w:val="32"/>
          <w:szCs w:val="32"/>
          <w:color w:val="1D4E89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north-south</w:t>
      </w:r>
      <w:r>
        <w:rPr>
          <w:rFonts w:ascii="Arial" w:hAnsi="Arial" w:cs="Arial" w:eastAsia="Arial"/>
          <w:sz w:val="32"/>
          <w:szCs w:val="32"/>
          <w:color w:val="1D4E89"/>
          <w:spacing w:val="-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divide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20" w:right="8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Men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London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14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longer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Glaswegian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counterparts,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according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120" w:right="218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figures,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putting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latter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expectancy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Albania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Palestine.</w:t>
      </w:r>
    </w:p>
    <w:p>
      <w:pPr>
        <w:spacing w:before="6" w:after="0" w:line="570" w:lineRule="atLeast"/>
        <w:ind w:left="120" w:right="7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Life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expectancy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females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Kensington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Chelsea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UK.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Kensington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Chelsea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14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longer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Glasgo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according</w:t>
      </w:r>
    </w:p>
    <w:p>
      <w:pPr>
        <w:spacing w:before="12" w:after="0" w:line="250" w:lineRule="auto"/>
        <w:ind w:left="120" w:right="7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figures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Office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National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Statistics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(ONS),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reveal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widening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gulf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expectancy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between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UK.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expectancy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London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average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Japan,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world,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Guatemala.”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79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371.861389pt;margin-top:42.864075pt;width:187.413611pt;height:131.912795pt;mso-position-horizontal-relative:page;mso-position-vertical-relative:paragraph;z-index:-74" type="#_x0000_t75">
            <v:imagedata r:id="rId6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estminste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expectancy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women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five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wards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highest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level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93.76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average;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Harrow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Road,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Knightsbridge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Bayswate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enice,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arwick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Square,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according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latest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ward-level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figures.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588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Harrow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97.1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401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Kensington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Chelsea,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92.5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wards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Hans</w:t>
      </w:r>
    </w:p>
    <w:p>
      <w:pPr>
        <w:spacing w:before="12" w:after="0" w:line="240" w:lineRule="auto"/>
        <w:ind w:left="120" w:right="492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7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Colville,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Courtfield,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Cremorne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Earls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Court.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" w:right="401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Glasgow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Calton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average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expectancy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53.9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Iraq,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sanctions,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continuing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conflict,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suicide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bombs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insurgenc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average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60s;</w:t>
      </w:r>
    </w:p>
    <w:p>
      <w:pPr>
        <w:spacing w:before="0" w:after="0" w:line="240" w:lineRule="auto"/>
        <w:ind w:left="120" w:right="7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expectancy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male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67.49.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Iran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69.96,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North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Korea,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71.37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Gaza</w:t>
      </w:r>
    </w:p>
    <w:p>
      <w:pPr>
        <w:spacing w:before="12" w:after="0" w:line="240" w:lineRule="auto"/>
        <w:ind w:left="120" w:right="902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Strip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70.5.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" w:right="7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Glasgow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remains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local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authority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worst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record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both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female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expectanc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although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71.1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71.6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between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2007-09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2008-10.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7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verage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pay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Glasgow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2010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£23,356,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compared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£87,516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Kensington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</w:p>
    <w:p>
      <w:pPr>
        <w:spacing w:before="12" w:after="0" w:line="240" w:lineRule="auto"/>
        <w:ind w:left="120" w:right="9602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374.173218pt;margin-top:7.123869pt;width:186.491782pt;height:151.54pt;mso-position-horizontal-relative:page;mso-position-vertical-relative:paragraph;z-index:-73" type="#_x0000_t75">
            <v:imagedata r:id="rId7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Chelsea.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" w:right="401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secretar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Brendan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Barbe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said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figures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“stark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warning”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intent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forcing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late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401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“People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living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Glasgow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Blackpool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retirement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shorter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affluent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UK.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401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“Ministers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realise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rapidly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accelerating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pension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wealthy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</w:p>
    <w:p>
      <w:pPr>
        <w:spacing w:before="0" w:after="0" w:line="240" w:lineRule="auto"/>
        <w:ind w:left="120" w:right="8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Kensington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Chelsea,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frightening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prospect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millions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living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further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north.”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3" w:right="17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Source: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hyperlink r:id="rId8">
        <w:r>
          <w:rPr>
            <w:rFonts w:ascii="Arial" w:hAnsi="Arial" w:cs="Arial" w:eastAsia="Arial"/>
            <w:sz w:val="20"/>
            <w:szCs w:val="20"/>
            <w:color w:val="1D4E89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0"/>
            <w:szCs w:val="20"/>
            <w:color w:val="1D4E89"/>
            <w:spacing w:val="-11"/>
            <w:w w:val="100"/>
          </w:rPr>
          <w:t>w</w:t>
        </w:r>
        <w:r>
          <w:rPr>
            <w:rFonts w:ascii="Arial" w:hAnsi="Arial" w:cs="Arial" w:eastAsia="Arial"/>
            <w:sz w:val="20"/>
            <w:szCs w:val="20"/>
            <w:color w:val="1D4E89"/>
            <w:spacing w:val="0"/>
            <w:w w:val="100"/>
          </w:rPr>
          <w:t>.theguardian.com/money/20</w:t>
        </w:r>
        <w:r>
          <w:rPr>
            <w:rFonts w:ascii="Arial" w:hAnsi="Arial" w:cs="Arial" w:eastAsia="Arial"/>
            <w:sz w:val="20"/>
            <w:szCs w:val="20"/>
            <w:color w:val="1D4E89"/>
            <w:spacing w:val="-15"/>
            <w:w w:val="100"/>
          </w:rPr>
          <w:t>1</w:t>
        </w:r>
        <w:r>
          <w:rPr>
            <w:rFonts w:ascii="Arial" w:hAnsi="Arial" w:cs="Arial" w:eastAsia="Arial"/>
            <w:sz w:val="20"/>
            <w:szCs w:val="20"/>
            <w:color w:val="1D4E89"/>
            <w:spacing w:val="0"/>
            <w:w w:val="100"/>
          </w:rPr>
          <w:t>1/oct/19/life-expectancy-growing-north-south-divide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sectPr>
      <w:type w:val="continuous"/>
      <w:pgSz w:w="11920" w:h="16840"/>
      <w:pgMar w:top="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yperlink" Target="http://www.theguardian.com/money/2011/oct/19/life-expectancy-growing-north-south-divid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2015-06-04T13:00:25Z</dcterms:created>
  <dcterms:modified xsi:type="dcterms:W3CDTF">2015-06-04T13:00:25Z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2015-06-04T00:00:00Z</vt:filetime>
  </property>
</Properties>
</file>