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720" w:right="7341"/>
        <w:jc w:val="both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1F4F82"/>
          <w:spacing w:val="0"/>
          <w:w w:val="100"/>
          <w:b/>
          <w:bCs/>
        </w:rPr>
        <w:t>Britain</w:t>
      </w:r>
      <w:r>
        <w:rPr>
          <w:rFonts w:ascii="Arial" w:hAnsi="Arial" w:cs="Arial" w:eastAsia="Arial"/>
          <w:sz w:val="32"/>
          <w:szCs w:val="32"/>
          <w:color w:val="1F4F82"/>
          <w:spacing w:val="-12"/>
          <w:w w:val="100"/>
          <w:b/>
          <w:bCs/>
        </w:rPr>
        <w:t>’</w:t>
      </w:r>
      <w:r>
        <w:rPr>
          <w:rFonts w:ascii="Arial" w:hAnsi="Arial" w:cs="Arial" w:eastAsia="Arial"/>
          <w:sz w:val="32"/>
          <w:szCs w:val="32"/>
          <w:color w:val="1F4F8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color w:val="1F4F8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F4F82"/>
          <w:spacing w:val="0"/>
          <w:w w:val="100"/>
          <w:b/>
          <w:bCs/>
        </w:rPr>
        <w:t>unequal</w:t>
      </w:r>
      <w:r>
        <w:rPr>
          <w:rFonts w:ascii="Arial" w:hAnsi="Arial" w:cs="Arial" w:eastAsia="Arial"/>
          <w:sz w:val="32"/>
          <w:szCs w:val="32"/>
          <w:color w:val="1F4F8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F4F82"/>
          <w:spacing w:val="0"/>
          <w:w w:val="100"/>
          <w:b/>
          <w:bCs/>
        </w:rPr>
        <w:t>society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5" w:after="0" w:line="240" w:lineRule="auto"/>
        <w:ind w:left="720" w:right="8384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Inequalities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handout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2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20" w:right="1409"/>
        <w:jc w:val="both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UK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only</w:t>
      </w:r>
      <w:r>
        <w:rPr>
          <w:rFonts w:ascii="Arial" w:hAnsi="Arial" w:cs="Arial" w:eastAsia="Arial"/>
          <w:sz w:val="32"/>
          <w:szCs w:val="32"/>
          <w:color w:val="1D4E8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G7</w:t>
      </w:r>
      <w:r>
        <w:rPr>
          <w:rFonts w:ascii="Arial" w:hAnsi="Arial" w:cs="Arial" w:eastAsia="Arial"/>
          <w:sz w:val="32"/>
          <w:szCs w:val="32"/>
          <w:color w:val="1D4E89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country</w:t>
      </w:r>
      <w:r>
        <w:rPr>
          <w:rFonts w:ascii="Arial" w:hAnsi="Arial" w:cs="Arial" w:eastAsia="Arial"/>
          <w:sz w:val="32"/>
          <w:szCs w:val="32"/>
          <w:color w:val="1D4E89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32"/>
          <w:szCs w:val="32"/>
          <w:color w:val="1D4E8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wider</w:t>
      </w:r>
      <w:r>
        <w:rPr>
          <w:rFonts w:ascii="Arial" w:hAnsi="Arial" w:cs="Arial" w:eastAsia="Arial"/>
          <w:sz w:val="32"/>
          <w:szCs w:val="32"/>
          <w:color w:val="1D4E89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inequality</w:t>
      </w:r>
      <w:r>
        <w:rPr>
          <w:rFonts w:ascii="Arial" w:hAnsi="Arial" w:cs="Arial" w:eastAsia="Arial"/>
          <w:sz w:val="32"/>
          <w:szCs w:val="32"/>
          <w:color w:val="1D4E89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32"/>
          <w:szCs w:val="32"/>
          <w:color w:val="1D4E8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turn</w:t>
      </w:r>
      <w:r>
        <w:rPr>
          <w:rFonts w:ascii="Arial" w:hAnsi="Arial" w:cs="Arial" w:eastAsia="Arial"/>
          <w:sz w:val="32"/>
          <w:szCs w:val="32"/>
          <w:color w:val="1D4E8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32"/>
          <w:szCs w:val="32"/>
          <w:color w:val="1D4E8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century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20" w:right="630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Richest</w:t>
      </w:r>
      <w:r>
        <w:rPr>
          <w:rFonts w:ascii="Arial" w:hAnsi="Arial" w:cs="Arial" w:eastAsia="Arial"/>
          <w:sz w:val="28"/>
          <w:szCs w:val="28"/>
          <w:color w:val="1D4E8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10%</w:t>
      </w:r>
      <w:r>
        <w:rPr>
          <w:rFonts w:ascii="Arial" w:hAnsi="Arial" w:cs="Arial" w:eastAsia="Arial"/>
          <w:sz w:val="28"/>
          <w:szCs w:val="28"/>
          <w:color w:val="1D4E8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control</w:t>
      </w:r>
      <w:r>
        <w:rPr>
          <w:rFonts w:ascii="Arial" w:hAnsi="Arial" w:cs="Arial" w:eastAsia="Arial"/>
          <w:sz w:val="28"/>
          <w:szCs w:val="28"/>
          <w:color w:val="1D4E8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54.1%</w:t>
      </w:r>
      <w:r>
        <w:rPr>
          <w:rFonts w:ascii="Arial" w:hAnsi="Arial" w:cs="Arial" w:eastAsia="Arial"/>
          <w:sz w:val="28"/>
          <w:szCs w:val="28"/>
          <w:color w:val="1D4E8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1D4E8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Britain</w:t>
      </w:r>
      <w:r>
        <w:rPr>
          <w:rFonts w:ascii="Arial" w:hAnsi="Arial" w:cs="Arial" w:eastAsia="Arial"/>
          <w:sz w:val="28"/>
          <w:szCs w:val="28"/>
          <w:color w:val="1D4E89"/>
          <w:spacing w:val="-10"/>
          <w:w w:val="100"/>
          <w:b/>
          <w:bCs/>
        </w:rPr>
        <w:t>’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1D4E8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wealth,</w:t>
      </w:r>
      <w:r>
        <w:rPr>
          <w:rFonts w:ascii="Arial" w:hAnsi="Arial" w:cs="Arial" w:eastAsia="Arial"/>
          <w:sz w:val="28"/>
          <w:szCs w:val="28"/>
          <w:color w:val="1D4E8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8"/>
          <w:szCs w:val="28"/>
          <w:color w:val="1D4E8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8"/>
          <w:szCs w:val="28"/>
          <w:color w:val="1D4E8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51.5%</w:t>
      </w:r>
      <w:r>
        <w:rPr>
          <w:rFonts w:ascii="Arial" w:hAnsi="Arial" w:cs="Arial" w:eastAsia="Arial"/>
          <w:sz w:val="28"/>
          <w:szCs w:val="28"/>
          <w:color w:val="1D4E8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8"/>
          <w:szCs w:val="28"/>
          <w:color w:val="1D4E8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2000</w:t>
      </w:r>
      <w:r>
        <w:rPr>
          <w:rFonts w:ascii="Arial" w:hAnsi="Arial" w:cs="Arial" w:eastAsia="Arial"/>
          <w:sz w:val="28"/>
          <w:szCs w:val="28"/>
          <w:color w:val="1D4E8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color w:val="1D4E89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52%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88" w:lineRule="exact"/>
        <w:ind w:left="720" w:right="5599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before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financial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crisis,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says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Credit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Suisse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3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Britain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G7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leading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economies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inequality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increased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centur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published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uesda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3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amount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country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wealth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controlled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richest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10%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increased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54.1%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51.5%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2000,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annual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Credit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Suisse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global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3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inequality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coincided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boom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super-rich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Britain.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44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dollar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billionaires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Britain,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compared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eight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centur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$50m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(£31m)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almost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quadrupled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4,660.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37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36pt;margin-top:28.407173pt;width:524.358702pt;height:345.6pt;mso-position-horizontal-relative:page;mso-position-vertical-relative:paragraph;z-index:-111" type="#_x0000_t75">
            <v:imagedata r:id="rId7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middle-income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households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squeezed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falling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incomes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household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increases.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33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hyperlink r:id="rId8"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0"/>
            <w:szCs w:val="20"/>
            <w:color w:val="1D4E89"/>
            <w:spacing w:val="-11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.theguardian.com/society/2014/oct/14/uk-inequality-wealth-credit-suisse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0" w:after="0" w:line="240" w:lineRule="auto"/>
        <w:ind w:left="720" w:right="28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Images: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hyperlink r:id="rId9"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0"/>
            <w:szCs w:val="20"/>
            <w:color w:val="1D4E89"/>
            <w:spacing w:val="-11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.equalitytrust.org.uk/resources/multimedia/infographic-income-inequality-uk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both"/>
        <w:spacing w:after="0"/>
        <w:sectPr>
          <w:pgMar w:header="0" w:footer="872" w:top="1540" w:bottom="1060" w:left="0" w:right="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7484" w:right="658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36pt;margin-top:-10.430554pt;width:322.597395pt;height:287.999993pt;mso-position-horizontal-relative:page;mso-position-vertical-relative:paragraph;z-index:-110" type="#_x0000_t75">
            <v:imagedata r:id="rId10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Oxfam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inequalit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Seer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“In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UK,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grips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rising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inequalit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flooded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richest.”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523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richest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10%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population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wealthier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since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crisis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wealth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52%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2007.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says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wealthier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strongly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investors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returns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all-time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lows.</w:t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Anthony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Shorrocks,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helped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recovery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London,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soaring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position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UK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powerhouse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factor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Britain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inequalit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European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countries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Germany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Ital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“they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dominates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way”.</w:t>
      </w:r>
    </w:p>
    <w:p>
      <w:pPr>
        <w:spacing w:before="51" w:after="0" w:line="240" w:lineRule="auto"/>
        <w:ind w:left="23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62.25pt;height:285.6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0" w:footer="872" w:top="1540" w:bottom="1060" w:left="0" w:right="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88.280029pt;width:595.276001pt;height:53.61pt;mso-position-horizontal-relative:page;mso-position-vertical-relative:page;z-index:-109" coordorigin="0,15766" coordsize="11906,1072">
          <v:group style="position:absolute;left:0;top:15776;width:454;height:1062" coordorigin="0,15776" coordsize="454,1062">
            <v:shape style="position:absolute;left:0;top:15776;width:454;height:1062" coordorigin="0,15776" coordsize="454,1062" path="m0,16838l454,16838,454,15776,0,15776,0,16838xe" filled="t" fillcolor="#B3E1FE" stroked="f">
              <v:path arrowok="t"/>
              <v:fill/>
            </v:shape>
          </v:group>
          <v:group style="position:absolute;left:454;top:15776;width:2239;height:1062" coordorigin="454,15776" coordsize="2239,1062">
            <v:shape style="position:absolute;left:454;top:15776;width:2239;height:1062" coordorigin="454,15776" coordsize="2239,1062" path="m454,16838l2693,16838,2693,15776,454,15776,454,16838xe" filled="t" fillcolor="#4E6E38" stroked="f">
              <v:path arrowok="t"/>
              <v:fill/>
            </v:shape>
          </v:group>
          <v:group style="position:absolute;left:2693;top:15776;width:9213;height:1062" coordorigin="2693,15776" coordsize="9213,1062">
            <v:shape style="position:absolute;left:2693;top:15776;width:9213;height:1062" coordorigin="2693,15776" coordsize="9213,1062" path="m11906,15776l11906,16838,2693,16838,2693,15776,11906,15776e" filled="t" fillcolor="#1D4E89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451.209pt;height:77.036015pt;mso-position-horizontal-relative:page;mso-position-vertical-relative:page;z-index:-111" coordorigin="0,0" coordsize="9024,1541">
          <v:group style="position:absolute;left:0;top:0;width:6576;height:1531" coordorigin="0,0" coordsize="6576,1531">
            <v:shape style="position:absolute;left:0;top:0;width:6576;height:1531" coordorigin="0,0" coordsize="6576,1531" path="m0,1531l6576,1531,6576,0,0,0,0,1531xe" filled="t" fillcolor="#B3E1FE" stroked="f">
              <v:path arrowok="t"/>
              <v:fill/>
            </v:shape>
          </v:group>
          <v:group style="position:absolute;left:6576;top:0;width:2049;height:1531" coordorigin="6576,0" coordsize="2049,1531">
            <v:shape style="position:absolute;left:6576;top:0;width:2049;height:1531" coordorigin="6576,0" coordsize="2049,1531" path="m6576,1531l8626,1531,8626,0,6576,0,6576,1531xe" filled="t" fillcolor="#4E6E38" stroked="f">
              <v:path arrowok="t"/>
              <v:fill/>
            </v:shape>
          </v:group>
          <v:group style="position:absolute;left:8626;top:0;width:389;height:1531" coordorigin="8626,0" coordsize="389,1531">
            <v:shape style="position:absolute;left:8626;top:0;width:389;height:1531" coordorigin="8626,0" coordsize="389,1531" path="m9014,1531l8626,1531,8626,0,9014,0,9014,1531e" filled="t" fillcolor="#1D4E89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0.361725pt;margin-top:6.379014pt;width:67.528275pt;height:67.527652pt;mso-position-horizontal-relative:page;mso-position-vertical-relative:page;z-index:-110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hyperlink" Target="http://www.theguardian.com/society/2014/oct/14/uk-inequality-wealth-credit-suisse" TargetMode="External"/><Relationship Id="rId9" Type="http://schemas.openxmlformats.org/officeDocument/2006/relationships/hyperlink" Target="http://www.equalitytrust.org.uk/resources/multimedia/infographic-income-inequality-uk" TargetMode="External"/><Relationship Id="rId10" Type="http://schemas.openxmlformats.org/officeDocument/2006/relationships/image" Target="media/image3.jpg"/><Relationship Id="rId11" Type="http://schemas.openxmlformats.org/officeDocument/2006/relationships/image" Target="media/image4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2015-06-04T13:00:23Z</dcterms:created>
  <dcterms:modified xsi:type="dcterms:W3CDTF">2015-06-04T13:00:23Z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2015-06-04T00:00:00Z</vt:filetime>
  </property>
</Properties>
</file>