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5D" w:rsidRPr="00272141" w:rsidRDefault="00563317" w:rsidP="00563317">
      <w:pPr>
        <w:jc w:val="center"/>
        <w:rPr>
          <w:lang w:val="en-GB"/>
        </w:rPr>
      </w:pPr>
      <w:bookmarkStart w:id="0" w:name="_GoBack"/>
      <w:bookmarkEnd w:id="0"/>
      <w:r>
        <w:rPr>
          <w:b/>
          <w:lang w:val="en-GB"/>
        </w:rPr>
        <w:t xml:space="preserve">3. </w:t>
      </w:r>
      <w:r w:rsidR="003C40B2" w:rsidRPr="00272141">
        <w:rPr>
          <w:b/>
          <w:lang w:val="en-GB"/>
        </w:rPr>
        <w:t>WHAT IS STANDARD ENGLISH?</w:t>
      </w:r>
    </w:p>
    <w:p w:rsidR="00DE745D" w:rsidRPr="00272141" w:rsidRDefault="00DE745D" w:rsidP="00DE745D">
      <w:pPr>
        <w:jc w:val="both"/>
        <w:rPr>
          <w:lang w:val="en-GB"/>
        </w:rPr>
      </w:pPr>
      <w:r w:rsidRPr="00272141">
        <w:rPr>
          <w:lang w:val="en-GB"/>
        </w:rPr>
        <w:t xml:space="preserve">Having instinctively used their knowledge of Standard English in producing re-writes, this unit aims to encourage students to think more consciously about the nature of SE and its role in linguistic comparative study. </w:t>
      </w:r>
    </w:p>
    <w:p w:rsidR="003C40B2" w:rsidRDefault="00DE745D" w:rsidP="00DE745D">
      <w:pPr>
        <w:jc w:val="both"/>
        <w:rPr>
          <w:lang w:val="en-GB"/>
        </w:rPr>
      </w:pPr>
      <w:r>
        <w:rPr>
          <w:b/>
          <w:lang w:val="en-GB"/>
        </w:rPr>
        <w:t>Activities</w:t>
      </w:r>
      <w:r w:rsidRPr="00272141">
        <w:rPr>
          <w:b/>
          <w:lang w:val="en-GB"/>
        </w:rPr>
        <w:t xml:space="preserve"> 1</w:t>
      </w:r>
      <w:r>
        <w:rPr>
          <w:b/>
          <w:lang w:val="en-GB"/>
        </w:rPr>
        <w:t>-3</w:t>
      </w:r>
      <w:r>
        <w:rPr>
          <w:lang w:val="en-GB"/>
        </w:rPr>
        <w:t xml:space="preserve"> are</w:t>
      </w:r>
      <w:r w:rsidRPr="00272141">
        <w:rPr>
          <w:lang w:val="en-GB"/>
        </w:rPr>
        <w:t xml:space="preserve"> designed to get students </w:t>
      </w:r>
      <w:r>
        <w:rPr>
          <w:lang w:val="en-GB"/>
        </w:rPr>
        <w:t xml:space="preserve">thinking about the methods </w:t>
      </w:r>
      <w:r w:rsidR="003C40B2">
        <w:rPr>
          <w:lang w:val="en-GB"/>
        </w:rPr>
        <w:t>they have</w:t>
      </w:r>
      <w:r>
        <w:rPr>
          <w:lang w:val="en-GB"/>
        </w:rPr>
        <w:t xml:space="preserve"> used to analyse language in the previous sections. The aim is to lead them towards </w:t>
      </w:r>
      <w:proofErr w:type="gramStart"/>
      <w:r>
        <w:rPr>
          <w:lang w:val="en-GB"/>
        </w:rPr>
        <w:t>a recognition</w:t>
      </w:r>
      <w:proofErr w:type="gramEnd"/>
      <w:r>
        <w:rPr>
          <w:lang w:val="en-GB"/>
        </w:rPr>
        <w:t xml:space="preserve"> of the role Standard English plays in </w:t>
      </w:r>
      <w:r w:rsidR="003C40B2">
        <w:rPr>
          <w:lang w:val="en-GB"/>
        </w:rPr>
        <w:t xml:space="preserve">analysis. </w:t>
      </w:r>
    </w:p>
    <w:p w:rsidR="00DE745D" w:rsidRPr="00272141" w:rsidRDefault="003C40B2" w:rsidP="00DE745D">
      <w:pPr>
        <w:jc w:val="both"/>
        <w:rPr>
          <w:lang w:val="en-GB"/>
        </w:rPr>
      </w:pPr>
      <w:r w:rsidRPr="003C40B2">
        <w:rPr>
          <w:b/>
          <w:lang w:val="en-GB"/>
        </w:rPr>
        <w:t>Activity 4</w:t>
      </w:r>
      <w:r>
        <w:rPr>
          <w:lang w:val="en-GB"/>
        </w:rPr>
        <w:t xml:space="preserve"> makes the process more practical:</w:t>
      </w:r>
      <w:r w:rsidRPr="003C40B2">
        <w:rPr>
          <w:lang w:val="en-GB"/>
        </w:rPr>
        <w:t xml:space="preserve"> </w:t>
      </w:r>
      <w:r>
        <w:rPr>
          <w:lang w:val="en-GB"/>
        </w:rPr>
        <w:t>students now need to both recognise</w:t>
      </w:r>
      <w:r w:rsidRPr="00272141">
        <w:rPr>
          <w:lang w:val="en-GB"/>
        </w:rPr>
        <w:t xml:space="preserve"> </w:t>
      </w:r>
      <w:r w:rsidRPr="00272141">
        <w:rPr>
          <w:b/>
          <w:lang w:val="en-GB"/>
        </w:rPr>
        <w:t>and</w:t>
      </w:r>
      <w:r>
        <w:rPr>
          <w:lang w:val="en-GB"/>
        </w:rPr>
        <w:t xml:space="preserve"> describe</w:t>
      </w:r>
      <w:r w:rsidRPr="00272141">
        <w:rPr>
          <w:lang w:val="en-GB"/>
        </w:rPr>
        <w:t xml:space="preserve"> language features.</w:t>
      </w:r>
      <w:r>
        <w:rPr>
          <w:lang w:val="en-GB"/>
        </w:rPr>
        <w:t xml:space="preserve"> Each of the six sentences communicates the same meaning, but uses different types of English (very formal SE, formal SE, informal SE, regional non-standard English and social/multicultural non-standard English). </w:t>
      </w:r>
      <w:r w:rsidR="00DE745D" w:rsidRPr="00272141">
        <w:rPr>
          <w:lang w:val="en-GB"/>
        </w:rPr>
        <w:t>Although essentially sa</w:t>
      </w:r>
      <w:r>
        <w:rPr>
          <w:lang w:val="en-GB"/>
        </w:rPr>
        <w:t>ying the same thing</w:t>
      </w:r>
      <w:r w:rsidR="00DE745D" w:rsidRPr="00272141">
        <w:rPr>
          <w:lang w:val="en-GB"/>
        </w:rPr>
        <w:t xml:space="preserve">, the language and grammar tell us a lot about the speaker/writer. The task offers an opportunity to discuss the concept of style and the effect that each sentence would have on an audience. The logical next step is to discuss ‘appropriateness’, considering the contexts in which each version may or may not be acceptable. Writing their own parallel sentences </w:t>
      </w:r>
      <w:r>
        <w:rPr>
          <w:lang w:val="en-GB"/>
        </w:rPr>
        <w:t>(</w:t>
      </w:r>
      <w:r w:rsidRPr="003C40B2">
        <w:rPr>
          <w:b/>
          <w:lang w:val="en-GB"/>
        </w:rPr>
        <w:t>Activity 5</w:t>
      </w:r>
      <w:r>
        <w:rPr>
          <w:lang w:val="en-GB"/>
        </w:rPr>
        <w:t xml:space="preserve">) </w:t>
      </w:r>
      <w:r w:rsidR="00DE745D" w:rsidRPr="00272141">
        <w:rPr>
          <w:lang w:val="en-GB"/>
        </w:rPr>
        <w:t>will enable students to use their own regional, social or multi-cultural dialects alongside SE variations.</w:t>
      </w:r>
    </w:p>
    <w:p w:rsidR="00DE745D" w:rsidRPr="00272141" w:rsidRDefault="003C40B2" w:rsidP="00DE745D">
      <w:pPr>
        <w:jc w:val="both"/>
        <w:rPr>
          <w:lang w:val="en-GB"/>
        </w:rPr>
      </w:pPr>
      <w:r>
        <w:rPr>
          <w:b/>
          <w:lang w:val="en-GB"/>
        </w:rPr>
        <w:t>Activity 6</w:t>
      </w:r>
      <w:r w:rsidR="00DE745D" w:rsidRPr="00272141">
        <w:rPr>
          <w:b/>
          <w:lang w:val="en-GB"/>
        </w:rPr>
        <w:t xml:space="preserve"> </w:t>
      </w:r>
      <w:r>
        <w:rPr>
          <w:lang w:val="en-GB"/>
        </w:rPr>
        <w:t>draw</w:t>
      </w:r>
      <w:r w:rsidR="00252EF2">
        <w:rPr>
          <w:lang w:val="en-GB"/>
        </w:rPr>
        <w:t>s</w:t>
      </w:r>
      <w:r w:rsidR="00DE745D" w:rsidRPr="00272141">
        <w:rPr>
          <w:lang w:val="en-GB"/>
        </w:rPr>
        <w:t xml:space="preserve"> together the ideas raised in discussion by focusing on some key issues about SE. The list of statements includes some concepts that should engage students in an interesting debate e.g. whether swearing is SE or not, about prescriptive and descriptive attitudes to language, about the links between language and identity, </w:t>
      </w:r>
      <w:r>
        <w:rPr>
          <w:lang w:val="en-GB"/>
        </w:rPr>
        <w:t xml:space="preserve">and </w:t>
      </w:r>
      <w:r w:rsidR="00DE745D" w:rsidRPr="00272141">
        <w:rPr>
          <w:lang w:val="en-GB"/>
        </w:rPr>
        <w:t>about value judgements.</w:t>
      </w:r>
      <w:r>
        <w:rPr>
          <w:lang w:val="en-GB"/>
        </w:rPr>
        <w:t xml:space="preserve"> </w:t>
      </w:r>
    </w:p>
    <w:p w:rsidR="00DE745D" w:rsidRPr="00272141" w:rsidRDefault="00DE745D" w:rsidP="00DE745D">
      <w:pPr>
        <w:jc w:val="both"/>
        <w:rPr>
          <w:lang w:val="en-GB"/>
        </w:rPr>
      </w:pPr>
      <w:r w:rsidRPr="00272141">
        <w:rPr>
          <w:lang w:val="en-GB"/>
        </w:rPr>
        <w:t xml:space="preserve">The idea that SE never changes can link back to the ideas of changing language raised in </w:t>
      </w:r>
      <w:r w:rsidR="003C40B2">
        <w:rPr>
          <w:lang w:val="en-GB"/>
        </w:rPr>
        <w:t>the introductory section ‘</w:t>
      </w:r>
      <w:proofErr w:type="gramStart"/>
      <w:r w:rsidR="003C40B2">
        <w:rPr>
          <w:lang w:val="en-GB"/>
        </w:rPr>
        <w:t>What</w:t>
      </w:r>
      <w:proofErr w:type="gramEnd"/>
      <w:r w:rsidR="003C40B2">
        <w:rPr>
          <w:lang w:val="en-GB"/>
        </w:rPr>
        <w:t xml:space="preserve"> happens when a language changes?’</w:t>
      </w:r>
      <w:r w:rsidRPr="00272141">
        <w:rPr>
          <w:lang w:val="en-GB"/>
        </w:rPr>
        <w:t xml:space="preserve"> – </w:t>
      </w:r>
      <w:proofErr w:type="gramStart"/>
      <w:r w:rsidRPr="00272141">
        <w:rPr>
          <w:lang w:val="en-GB"/>
        </w:rPr>
        <w:t>living</w:t>
      </w:r>
      <w:proofErr w:type="gramEnd"/>
      <w:r w:rsidRPr="00272141">
        <w:rPr>
          <w:lang w:val="en-GB"/>
        </w:rPr>
        <w:t xml:space="preserve"> languages inevitably change or die. Discussion can include attitudes to:</w:t>
      </w:r>
    </w:p>
    <w:p w:rsidR="00DE745D" w:rsidRPr="00272141" w:rsidRDefault="00DE745D" w:rsidP="00DE745D">
      <w:pPr>
        <w:numPr>
          <w:ilvl w:val="0"/>
          <w:numId w:val="1"/>
        </w:numPr>
        <w:contextualSpacing/>
        <w:jc w:val="both"/>
        <w:rPr>
          <w:lang w:val="en-GB"/>
        </w:rPr>
      </w:pPr>
      <w:r w:rsidRPr="00272141">
        <w:rPr>
          <w:lang w:val="en-GB"/>
        </w:rPr>
        <w:t xml:space="preserve">prepositions at the end of sentences </w:t>
      </w:r>
    </w:p>
    <w:p w:rsidR="00DE745D" w:rsidRPr="00272141" w:rsidRDefault="00DE745D" w:rsidP="00DE745D">
      <w:pPr>
        <w:numPr>
          <w:ilvl w:val="0"/>
          <w:numId w:val="1"/>
        </w:numPr>
        <w:contextualSpacing/>
        <w:jc w:val="both"/>
        <w:rPr>
          <w:lang w:val="en-GB"/>
        </w:rPr>
      </w:pPr>
      <w:r w:rsidRPr="00272141">
        <w:rPr>
          <w:lang w:val="en-GB"/>
        </w:rPr>
        <w:t>split infinitives</w:t>
      </w:r>
    </w:p>
    <w:p w:rsidR="00DE745D" w:rsidRDefault="00DE745D" w:rsidP="00DE745D">
      <w:pPr>
        <w:numPr>
          <w:ilvl w:val="0"/>
          <w:numId w:val="1"/>
        </w:numPr>
        <w:contextualSpacing/>
        <w:jc w:val="both"/>
        <w:rPr>
          <w:lang w:val="en-GB"/>
        </w:rPr>
      </w:pPr>
      <w:r w:rsidRPr="00272141">
        <w:rPr>
          <w:lang w:val="en-GB"/>
        </w:rPr>
        <w:t>the subjunctive</w:t>
      </w:r>
    </w:p>
    <w:p w:rsidR="003C40B2" w:rsidRDefault="003C40B2" w:rsidP="00DE745D">
      <w:pPr>
        <w:numPr>
          <w:ilvl w:val="0"/>
          <w:numId w:val="1"/>
        </w:numPr>
        <w:contextualSpacing/>
        <w:jc w:val="both"/>
        <w:rPr>
          <w:lang w:val="en-GB"/>
        </w:rPr>
      </w:pPr>
      <w:r>
        <w:rPr>
          <w:lang w:val="en-GB"/>
        </w:rPr>
        <w:t>metathesis in words like ‘</w:t>
      </w:r>
      <w:proofErr w:type="spellStart"/>
      <w:r>
        <w:rPr>
          <w:lang w:val="en-GB"/>
        </w:rPr>
        <w:t>aks</w:t>
      </w:r>
      <w:proofErr w:type="spellEnd"/>
      <w:r>
        <w:rPr>
          <w:lang w:val="en-GB"/>
        </w:rPr>
        <w:t>’ and ‘</w:t>
      </w:r>
      <w:proofErr w:type="spellStart"/>
      <w:r>
        <w:rPr>
          <w:lang w:val="en-GB"/>
        </w:rPr>
        <w:t>prehaps</w:t>
      </w:r>
      <w:proofErr w:type="spellEnd"/>
      <w:r>
        <w:rPr>
          <w:lang w:val="en-GB"/>
        </w:rPr>
        <w:t>’</w:t>
      </w:r>
    </w:p>
    <w:p w:rsidR="003C40B2" w:rsidRPr="003C40B2" w:rsidRDefault="003C40B2" w:rsidP="003C40B2">
      <w:pPr>
        <w:numPr>
          <w:ilvl w:val="0"/>
          <w:numId w:val="1"/>
        </w:numPr>
        <w:contextualSpacing/>
        <w:jc w:val="both"/>
        <w:rPr>
          <w:lang w:val="en-GB"/>
        </w:rPr>
      </w:pPr>
      <w:r>
        <w:rPr>
          <w:lang w:val="en-GB"/>
        </w:rPr>
        <w:t>the use of fillers (‘like’)</w:t>
      </w:r>
    </w:p>
    <w:p w:rsidR="003C40B2" w:rsidRPr="00272141" w:rsidRDefault="003C40B2" w:rsidP="003C40B2">
      <w:pPr>
        <w:ind w:left="1590"/>
        <w:contextualSpacing/>
        <w:jc w:val="both"/>
        <w:rPr>
          <w:lang w:val="en-GB"/>
        </w:rPr>
      </w:pPr>
    </w:p>
    <w:p w:rsidR="00DE745D" w:rsidRPr="00272141" w:rsidRDefault="00252EF2" w:rsidP="00DE745D">
      <w:pPr>
        <w:jc w:val="both"/>
        <w:rPr>
          <w:lang w:val="en-GB"/>
        </w:rPr>
      </w:pPr>
      <w:r w:rsidRPr="00252EF2">
        <w:rPr>
          <w:b/>
          <w:lang w:val="en-GB"/>
        </w:rPr>
        <w:t>Activity 7</w:t>
      </w:r>
      <w:r>
        <w:rPr>
          <w:lang w:val="en-GB"/>
        </w:rPr>
        <w:t xml:space="preserve"> then encourages students to frame their own working definition of SE. Encouraging wider reading/research will be useful at this point. </w:t>
      </w:r>
      <w:r w:rsidR="00DE745D" w:rsidRPr="00272141">
        <w:rPr>
          <w:lang w:val="en-GB"/>
        </w:rPr>
        <w:t>Resources could incl</w:t>
      </w:r>
      <w:r>
        <w:rPr>
          <w:lang w:val="en-GB"/>
        </w:rPr>
        <w:t>ude some interesting websites o</w:t>
      </w:r>
      <w:r w:rsidR="00DE745D" w:rsidRPr="00272141">
        <w:rPr>
          <w:lang w:val="en-GB"/>
        </w:rPr>
        <w:t>n SE</w:t>
      </w:r>
      <w:r>
        <w:rPr>
          <w:lang w:val="en-GB"/>
        </w:rPr>
        <w:t>.</w:t>
      </w:r>
    </w:p>
    <w:p w:rsidR="00DE745D" w:rsidRPr="00272141" w:rsidRDefault="007D17B7" w:rsidP="00DE745D">
      <w:pPr>
        <w:shd w:val="clear" w:color="auto" w:fill="FFFFFF"/>
        <w:spacing w:before="100" w:beforeAutospacing="1" w:after="100" w:afterAutospacing="1" w:line="240" w:lineRule="auto"/>
        <w:outlineLvl w:val="3"/>
        <w:rPr>
          <w:rFonts w:eastAsia="Times New Roman" w:cstheme="minorHAnsi"/>
          <w:bCs/>
        </w:rPr>
      </w:pPr>
      <w:hyperlink r:id="rId7" w:history="1">
        <w:r w:rsidR="00DE745D" w:rsidRPr="00272141">
          <w:rPr>
            <w:rFonts w:ascii="Times New Roman" w:eastAsia="Times New Roman" w:hAnsi="Times New Roman" w:cs="Times New Roman"/>
            <w:b/>
            <w:bCs/>
            <w:color w:val="0000FF" w:themeColor="hyperlink"/>
            <w:sz w:val="24"/>
            <w:szCs w:val="24"/>
            <w:u w:val="single"/>
          </w:rPr>
          <w:t>http://www.phon.ucl.ac.uk/home/dick/standard.htm</w:t>
        </w:r>
      </w:hyperlink>
      <w:r w:rsidR="00DE745D" w:rsidRPr="00272141">
        <w:rPr>
          <w:rFonts w:ascii="Times New Roman" w:eastAsia="Times New Roman" w:hAnsi="Times New Roman" w:cs="Times New Roman"/>
          <w:b/>
          <w:bCs/>
          <w:sz w:val="24"/>
          <w:szCs w:val="24"/>
        </w:rPr>
        <w:t xml:space="preserve"> </w:t>
      </w:r>
      <w:r w:rsidR="00DE745D" w:rsidRPr="00272141">
        <w:rPr>
          <w:rFonts w:eastAsia="Times New Roman" w:cstheme="minorHAnsi"/>
          <w:bCs/>
        </w:rPr>
        <w:t xml:space="preserve">which provides links to essays by </w:t>
      </w:r>
      <w:r w:rsidR="00DE745D" w:rsidRPr="00272141">
        <w:rPr>
          <w:rFonts w:eastAsia="Times New Roman" w:cstheme="minorHAnsi"/>
          <w:bCs/>
          <w:color w:val="000000"/>
        </w:rPr>
        <w:t xml:space="preserve">Peter </w:t>
      </w:r>
      <w:proofErr w:type="spellStart"/>
      <w:r w:rsidR="00DE745D" w:rsidRPr="00272141">
        <w:rPr>
          <w:rFonts w:eastAsia="Times New Roman" w:cstheme="minorHAnsi"/>
          <w:bCs/>
          <w:color w:val="000000"/>
        </w:rPr>
        <w:t>Trudgill</w:t>
      </w:r>
      <w:proofErr w:type="spellEnd"/>
      <w:r w:rsidR="00DE745D" w:rsidRPr="00272141">
        <w:rPr>
          <w:rFonts w:eastAsia="Times New Roman" w:cstheme="minorHAnsi"/>
          <w:bCs/>
          <w:color w:val="000000"/>
        </w:rPr>
        <w:t xml:space="preserve"> (</w:t>
      </w:r>
      <w:r w:rsidR="00252EF2">
        <w:rPr>
          <w:rFonts w:eastAsia="Times New Roman" w:cstheme="minorHAnsi"/>
          <w:bCs/>
          <w:color w:val="000000"/>
        </w:rPr>
        <w:t>‘</w:t>
      </w:r>
      <w:r w:rsidR="00DE745D" w:rsidRPr="00272141">
        <w:rPr>
          <w:rFonts w:eastAsia="Times New Roman" w:cstheme="minorHAnsi"/>
          <w:bCs/>
          <w:color w:val="000000"/>
        </w:rPr>
        <w:t>Standard English: what it isn’t</w:t>
      </w:r>
      <w:r w:rsidR="00252EF2">
        <w:rPr>
          <w:rFonts w:eastAsia="Times New Roman" w:cstheme="minorHAnsi"/>
          <w:bCs/>
          <w:color w:val="000000"/>
        </w:rPr>
        <w:t>’</w:t>
      </w:r>
      <w:r w:rsidR="00DE745D" w:rsidRPr="00272141">
        <w:rPr>
          <w:rFonts w:eastAsia="Times New Roman" w:cstheme="minorHAnsi"/>
          <w:bCs/>
          <w:color w:val="000000"/>
        </w:rPr>
        <w:t xml:space="preserve">), </w:t>
      </w:r>
      <w:r w:rsidR="00DE745D" w:rsidRPr="00272141">
        <w:rPr>
          <w:rFonts w:eastAsia="Times New Roman" w:cstheme="minorHAnsi"/>
          <w:b/>
          <w:bCs/>
          <w:color w:val="000000"/>
        </w:rPr>
        <w:t xml:space="preserve"> </w:t>
      </w:r>
      <w:r w:rsidR="00DE745D" w:rsidRPr="00272141">
        <w:rPr>
          <w:rFonts w:eastAsia="Times New Roman" w:cstheme="minorHAnsi"/>
          <w:bCs/>
          <w:color w:val="000000"/>
        </w:rPr>
        <w:t>Richard Hogg (</w:t>
      </w:r>
      <w:hyperlink r:id="rId8" w:history="1">
        <w:r w:rsidR="00DE745D" w:rsidRPr="00272141">
          <w:rPr>
            <w:rFonts w:eastAsia="Times New Roman" w:cstheme="minorHAnsi"/>
            <w:bCs/>
            <w:color w:val="0000FF" w:themeColor="hyperlink"/>
            <w:u w:val="single"/>
          </w:rPr>
          <w:t xml:space="preserve">The </w:t>
        </w:r>
        <w:proofErr w:type="spellStart"/>
        <w:r w:rsidR="00DE745D" w:rsidRPr="00272141">
          <w:rPr>
            <w:rFonts w:eastAsia="Times New Roman" w:cstheme="minorHAnsi"/>
            <w:bCs/>
            <w:color w:val="0000FF" w:themeColor="hyperlink"/>
            <w:u w:val="single"/>
          </w:rPr>
          <w:t>standardiz</w:t>
        </w:r>
        <w:proofErr w:type="spellEnd"/>
        <w:r w:rsidR="00DE745D" w:rsidRPr="00272141">
          <w:rPr>
            <w:rFonts w:eastAsia="Times New Roman" w:cstheme="minorHAnsi"/>
            <w:bCs/>
            <w:color w:val="0000FF" w:themeColor="hyperlink"/>
            <w:u w:val="single"/>
          </w:rPr>
          <w:t>/</w:t>
        </w:r>
        <w:proofErr w:type="spellStart"/>
        <w:r w:rsidR="00DE745D" w:rsidRPr="00272141">
          <w:rPr>
            <w:rFonts w:eastAsia="Times New Roman" w:cstheme="minorHAnsi"/>
            <w:bCs/>
            <w:color w:val="0000FF" w:themeColor="hyperlink"/>
            <w:u w:val="single"/>
          </w:rPr>
          <w:t>sation</w:t>
        </w:r>
        <w:proofErr w:type="spellEnd"/>
        <w:r w:rsidR="00DE745D" w:rsidRPr="00272141">
          <w:rPr>
            <w:rFonts w:eastAsia="Times New Roman" w:cstheme="minorHAnsi"/>
            <w:bCs/>
            <w:color w:val="0000FF" w:themeColor="hyperlink"/>
            <w:u w:val="single"/>
          </w:rPr>
          <w:t xml:space="preserve"> of English</w:t>
        </w:r>
      </w:hyperlink>
      <w:r w:rsidR="00DE745D" w:rsidRPr="00272141">
        <w:rPr>
          <w:rFonts w:eastAsia="Times New Roman" w:cstheme="minorHAnsi"/>
          <w:bCs/>
          <w:color w:val="000000"/>
        </w:rPr>
        <w:t>), Ann Williams (</w:t>
      </w:r>
      <w:r w:rsidR="00252EF2">
        <w:rPr>
          <w:rFonts w:eastAsia="Times New Roman" w:cstheme="minorHAnsi"/>
          <w:bCs/>
          <w:color w:val="000000"/>
        </w:rPr>
        <w:t>‘</w:t>
      </w:r>
      <w:hyperlink r:id="rId9" w:history="1">
        <w:r w:rsidR="00DE745D" w:rsidRPr="00272141">
          <w:rPr>
            <w:rFonts w:eastAsia="Times New Roman" w:cstheme="minorHAnsi"/>
          </w:rPr>
          <w:t>Discourses about English: Class, codes and identities in Britain</w:t>
        </w:r>
      </w:hyperlink>
      <w:r w:rsidR="00252EF2">
        <w:rPr>
          <w:rFonts w:eastAsia="Times New Roman" w:cstheme="minorHAnsi"/>
        </w:rPr>
        <w:t>’</w:t>
      </w:r>
      <w:r w:rsidR="00DE745D" w:rsidRPr="00272141">
        <w:rPr>
          <w:rFonts w:eastAsia="Times New Roman" w:cstheme="minorHAnsi"/>
          <w:b/>
          <w:bCs/>
        </w:rPr>
        <w:t xml:space="preserve">; </w:t>
      </w:r>
      <w:hyperlink r:id="rId10" w:history="1">
        <w:r w:rsidR="00DE745D" w:rsidRPr="00272141">
          <w:rPr>
            <w:rFonts w:eastAsia="Times New Roman" w:cstheme="minorHAnsi"/>
            <w:color w:val="0000FF" w:themeColor="hyperlink"/>
            <w:u w:val="single"/>
          </w:rPr>
          <w:t>Standard English and education</w:t>
        </w:r>
      </w:hyperlink>
      <w:r w:rsidR="00DE745D" w:rsidRPr="00272141">
        <w:rPr>
          <w:rFonts w:eastAsia="Times New Roman" w:cstheme="minorHAnsi"/>
        </w:rPr>
        <w:t>) and</w:t>
      </w:r>
      <w:r w:rsidR="00DE745D" w:rsidRPr="00272141">
        <w:rPr>
          <w:rFonts w:eastAsia="Times New Roman" w:cstheme="minorHAnsi"/>
          <w:bCs/>
        </w:rPr>
        <w:t xml:space="preserve"> </w:t>
      </w:r>
      <w:r w:rsidR="00DE745D" w:rsidRPr="00272141">
        <w:rPr>
          <w:rFonts w:eastAsia="Times New Roman" w:cstheme="minorHAnsi"/>
          <w:bCs/>
          <w:color w:val="000000"/>
        </w:rPr>
        <w:t>Richard Hudson (</w:t>
      </w:r>
      <w:r w:rsidR="00252EF2">
        <w:rPr>
          <w:rFonts w:eastAsia="Times New Roman" w:cstheme="minorHAnsi"/>
          <w:bCs/>
          <w:color w:val="000000"/>
        </w:rPr>
        <w:t>‘</w:t>
      </w:r>
      <w:r w:rsidR="00DE745D" w:rsidRPr="00272141">
        <w:rPr>
          <w:rFonts w:eastAsia="Times New Roman" w:cstheme="minorHAnsi"/>
          <w:bCs/>
          <w:color w:val="000000"/>
        </w:rPr>
        <w:t>The language teacher and descriptive versus prescriptive norms: The educational context</w:t>
      </w:r>
      <w:r w:rsidR="00252EF2">
        <w:rPr>
          <w:rFonts w:eastAsia="Times New Roman" w:cstheme="minorHAnsi"/>
          <w:bCs/>
          <w:color w:val="000000"/>
        </w:rPr>
        <w:t>’</w:t>
      </w:r>
      <w:r w:rsidR="00DE745D" w:rsidRPr="00272141">
        <w:rPr>
          <w:rFonts w:eastAsia="Times New Roman" w:cstheme="minorHAnsi"/>
          <w:bCs/>
        </w:rPr>
        <w:t>).</w:t>
      </w:r>
    </w:p>
    <w:p w:rsidR="00DE745D" w:rsidRPr="00272141" w:rsidRDefault="007D17B7" w:rsidP="00DE745D">
      <w:pPr>
        <w:rPr>
          <w:rFonts w:cstheme="minorHAnsi"/>
          <w:color w:val="0000FF" w:themeColor="hyperlink"/>
          <w:u w:val="single"/>
          <w:lang w:val="en-GB"/>
        </w:rPr>
      </w:pPr>
      <w:hyperlink r:id="rId11" w:history="1">
        <w:r w:rsidR="00DE745D" w:rsidRPr="00272141">
          <w:rPr>
            <w:rFonts w:cstheme="minorHAnsi"/>
            <w:color w:val="0000FF" w:themeColor="hyperlink"/>
            <w:u w:val="single"/>
            <w:lang w:val="en-GB"/>
          </w:rPr>
          <w:t>www.ling.lancs.ac.uk/staff/kerswill/pkpubs/kerswill2006rpstandardenglish.pdf</w:t>
        </w:r>
      </w:hyperlink>
    </w:p>
    <w:sectPr w:rsidR="00DE745D" w:rsidRPr="00272141" w:rsidSect="007D17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2F" w:rsidRDefault="00D77A2F" w:rsidP="00D77A2F">
      <w:pPr>
        <w:spacing w:after="0" w:line="240" w:lineRule="auto"/>
      </w:pPr>
      <w:r>
        <w:separator/>
      </w:r>
    </w:p>
  </w:endnote>
  <w:endnote w:type="continuationSeparator" w:id="0">
    <w:p w:rsidR="00D77A2F" w:rsidRDefault="00D77A2F" w:rsidP="00D77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2F" w:rsidRDefault="00D77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2F" w:rsidRDefault="00D77A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2F" w:rsidRDefault="00D77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2F" w:rsidRDefault="00D77A2F" w:rsidP="00D77A2F">
      <w:pPr>
        <w:spacing w:after="0" w:line="240" w:lineRule="auto"/>
      </w:pPr>
      <w:r>
        <w:separator/>
      </w:r>
    </w:p>
  </w:footnote>
  <w:footnote w:type="continuationSeparator" w:id="0">
    <w:p w:rsidR="00D77A2F" w:rsidRDefault="00D77A2F" w:rsidP="00D77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2F" w:rsidRDefault="00D77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2F" w:rsidRDefault="00D77A2F">
    <w:pPr>
      <w:pStyle w:val="Header"/>
    </w:pPr>
    <w:r w:rsidRPr="00D77A2F">
      <w:drawing>
        <wp:anchor distT="0" distB="0" distL="114300" distR="114300" simplePos="0" relativeHeight="251659264" behindDoc="0" locked="0" layoutInCell="1" allowOverlap="1">
          <wp:simplePos x="0" y="0"/>
          <wp:positionH relativeFrom="column">
            <wp:posOffset>4124325</wp:posOffset>
          </wp:positionH>
          <wp:positionV relativeFrom="paragraph">
            <wp:posOffset>-133350</wp:posOffset>
          </wp:positionV>
          <wp:extent cx="2552700" cy="219075"/>
          <wp:effectExtent l="19050" t="0" r="0" b="0"/>
          <wp:wrapThrough wrapText="bothSides">
            <wp:wrapPolygon edited="0">
              <wp:start x="-161" y="0"/>
              <wp:lineTo x="-161" y="20661"/>
              <wp:lineTo x="21600" y="20661"/>
              <wp:lineTo x="21600" y="0"/>
              <wp:lineTo x="-161" y="0"/>
            </wp:wrapPolygon>
          </wp:wrapThrough>
          <wp:docPr id="1" name="Picture 1" descr="ngf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fl_logo.jpg"/>
                  <pic:cNvPicPr>
                    <a:picLocks noChangeAspect="1" noChangeArrowheads="1"/>
                  </pic:cNvPicPr>
                </pic:nvPicPr>
                <pic:blipFill>
                  <a:blip r:embed="rId1"/>
                  <a:srcRect/>
                  <a:stretch>
                    <a:fillRect/>
                  </a:stretch>
                </pic:blipFill>
                <pic:spPr bwMode="auto">
                  <a:xfrm>
                    <a:off x="0" y="0"/>
                    <a:ext cx="2552700" cy="2190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2F" w:rsidRDefault="00D77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407AE"/>
    <w:multiLevelType w:val="hybridMultilevel"/>
    <w:tmpl w:val="B672AF4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745D"/>
    <w:rsid w:val="00252EF2"/>
    <w:rsid w:val="003C40B2"/>
    <w:rsid w:val="00563317"/>
    <w:rsid w:val="007D17B7"/>
    <w:rsid w:val="00A3369A"/>
    <w:rsid w:val="00D77A2F"/>
    <w:rsid w:val="00DE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A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7A2F"/>
  </w:style>
  <w:style w:type="paragraph" w:styleId="Footer">
    <w:name w:val="footer"/>
    <w:basedOn w:val="Normal"/>
    <w:link w:val="FooterChar"/>
    <w:uiPriority w:val="99"/>
    <w:semiHidden/>
    <w:unhideWhenUsed/>
    <w:rsid w:val="00D77A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7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ucl.ac.uk/home/dick/SEhogg.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on.ucl.ac.uk/home/dick/standard.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lancs.ac.uk/staff/kerswill/pkpubs/kerswill2006rpstandardenglish.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hon.ucl.ac.uk/home/dick/ec/papers/williams2007.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on.ucl.ac.uk/home/dick/ec/papers/williams2008.rt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WJEC</cp:lastModifiedBy>
  <cp:revision>3</cp:revision>
  <dcterms:created xsi:type="dcterms:W3CDTF">2012-05-11T09:38:00Z</dcterms:created>
  <dcterms:modified xsi:type="dcterms:W3CDTF">2012-05-14T08:34:00Z</dcterms:modified>
</cp:coreProperties>
</file>